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0C7B53">
        <w:t>15 мая 2020 года № 29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первый квартал 2020</w:t>
      </w:r>
      <w:r>
        <w:rPr>
          <w:rFonts w:ascii="Times New Roman CYR" w:hAnsi="Times New Roman CYR" w:cs="Times New Roman CYR"/>
        </w:rPr>
        <w:t xml:space="preserve"> года 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первый квартал 2020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A34EFD">
        <w:rPr>
          <w:rFonts w:ascii="Times New Roman CYR" w:hAnsi="Times New Roman CYR" w:cs="Times New Roman CYR"/>
        </w:rPr>
        <w:t>ал 2020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440879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  <w:sectPr w:rsidR="00440879" w:rsidSect="00477AD8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440879" w:rsidRDefault="00440879" w:rsidP="00A34EFD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15 мая 2020 года 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0C7B53">
        <w:rPr>
          <w:rFonts w:ascii="Times New Roman CYR" w:hAnsi="Times New Roman CYR" w:cs="Times New Roman CYR"/>
          <w:sz w:val="24"/>
          <w:szCs w:val="24"/>
        </w:rPr>
        <w:t>29</w:t>
      </w:r>
    </w:p>
    <w:p w:rsidR="00440879" w:rsidRP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Pr="00CD4F90" w:rsidRDefault="00A34EFD" w:rsidP="003109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31680" w:type="dxa"/>
        <w:tblInd w:w="93" w:type="dxa"/>
        <w:tblLook w:val="04A0"/>
      </w:tblPr>
      <w:tblGrid>
        <w:gridCol w:w="4968"/>
        <w:gridCol w:w="642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696"/>
      </w:tblGrid>
      <w:tr w:rsidR="003109EC" w:rsidTr="003109EC">
        <w:trPr>
          <w:trHeight w:val="825"/>
        </w:trPr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5"/>
            <w:r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квартал 2020 года</w:t>
            </w:r>
            <w:bookmarkEnd w:id="0"/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109EC" w:rsidRDefault="003109EC" w:rsidP="003109EC">
      <w:pPr>
        <w:rPr>
          <w:vanish/>
          <w:sz w:val="24"/>
          <w:szCs w:val="24"/>
        </w:rPr>
      </w:pPr>
    </w:p>
    <w:tbl>
      <w:tblPr>
        <w:tblW w:w="31680" w:type="dxa"/>
        <w:tblInd w:w="93" w:type="dxa"/>
        <w:tblLook w:val="04A0"/>
      </w:tblPr>
      <w:tblGrid>
        <w:gridCol w:w="1728"/>
        <w:gridCol w:w="1267"/>
        <w:gridCol w:w="1068"/>
        <w:gridCol w:w="942"/>
        <w:gridCol w:w="1003"/>
        <w:gridCol w:w="942"/>
        <w:gridCol w:w="984"/>
        <w:gridCol w:w="1003"/>
        <w:gridCol w:w="52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68"/>
      </w:tblGrid>
      <w:tr w:rsidR="003109EC" w:rsidTr="003109EC">
        <w:trPr>
          <w:trHeight w:val="156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2020 год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 за 1 квартал 2020 года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 за 1 квартал 2019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отклонение (факт 2020-2019)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             роста исполнения 2020 к 2019 году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6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113 230,6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24 139,0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35 350,2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-11 211,2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3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1" w:type="dxa"/>
            <w:noWrap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1 01 00000 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70 488,5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12 501,4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26 799,5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-14 298,1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70 488,5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12 501,4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26 799,5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-14 298,1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1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3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1 06 00000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31 982,0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6 334,7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3 563,9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2 770,8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8 999,4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22 982,6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5 815,2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3 060,7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2 754,5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16 777,0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5 462,2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2 809,3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6 205,6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7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спец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азрешения </w:t>
            </w:r>
            <w:r>
              <w:rPr>
                <w:color w:val="000000"/>
                <w:sz w:val="20"/>
                <w:szCs w:val="20"/>
              </w:rPr>
              <w:lastRenderedPageBreak/>
              <w:t>на движение по автомобильным дорогам транспортных средств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1 08 07175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8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1 392,8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127,1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624,6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103,4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747,1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158,6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3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МУП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1 11 07000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-519,4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22,8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-478,4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3 038,5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2 538,6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119,7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85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3 038,5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1 16 51000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2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2 719,1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-338,0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9EC" w:rsidRDefault="003109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2 719,1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-252,8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9EC" w:rsidRDefault="003109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202  15001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2 719,1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4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4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2 02 49000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2 07 00000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6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-85,2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-85,2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115 949,7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24 459,8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36 009,0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-11 549,2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360"/>
        </w:trPr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11 544,0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1 217,5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-383,1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7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1 684,4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7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выборов и </w:t>
            </w:r>
            <w:r>
              <w:rPr>
                <w:color w:val="000000"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2 011,7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7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2 011,7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94 266,9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2 579,3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-1 647,2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91 370,8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2 579,3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-1 650,0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93 144,2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20 562,1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21 601,5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-1 039,4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7 471,8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1 461,9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9 774,7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-8 312,8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67 952,4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17 712,7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10 929,3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6 783,4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4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806,4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</w:t>
            </w:r>
            <w:r>
              <w:rPr>
                <w:color w:val="000000"/>
                <w:sz w:val="20"/>
                <w:szCs w:val="20"/>
              </w:rPr>
              <w:lastRenderedPageBreak/>
              <w:t>в области культуры, кинематографии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1 071,2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194,2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205 394,0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23 874,0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26 855,3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-2 981,3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09EC" w:rsidRDefault="003109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                        </w:t>
            </w:r>
          </w:p>
        </w:tc>
      </w:tr>
      <w:tr w:rsidR="003109EC" w:rsidTr="003109EC">
        <w:trPr>
          <w:trHeight w:val="51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-3 500,0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9 153,7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C" w:rsidRDefault="003109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noWrap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525"/>
        </w:trPr>
        <w:tc>
          <w:tcPr>
            <w:tcW w:w="1025" w:type="dxa"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109EC" w:rsidTr="003109EC">
        <w:trPr>
          <w:trHeight w:val="255"/>
        </w:trPr>
        <w:tc>
          <w:tcPr>
            <w:tcW w:w="102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1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3109EC" w:rsidRDefault="003109EC">
            <w:pPr>
              <w:ind w:firstLine="7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109EC" w:rsidRDefault="003109EC" w:rsidP="003109EC">
      <w:pPr>
        <w:rPr>
          <w:lang w:eastAsia="en-US"/>
        </w:rPr>
      </w:pPr>
    </w:p>
    <w:p w:rsidR="00943D76" w:rsidRDefault="00943D76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43D76" w:rsidRDefault="00943D76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43D76" w:rsidRDefault="00943D76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43D76" w:rsidRDefault="00943D76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43D76" w:rsidRDefault="00943D76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sectPr w:rsidR="00C708F5" w:rsidSect="00943D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5B" w:rsidRDefault="00C2055B" w:rsidP="00603A8D">
      <w:r>
        <w:separator/>
      </w:r>
    </w:p>
  </w:endnote>
  <w:endnote w:type="continuationSeparator" w:id="0">
    <w:p w:rsidR="00C2055B" w:rsidRDefault="00C2055B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5B" w:rsidRDefault="00C2055B" w:rsidP="00603A8D">
      <w:r>
        <w:separator/>
      </w:r>
    </w:p>
  </w:footnote>
  <w:footnote w:type="continuationSeparator" w:id="0">
    <w:p w:rsidR="00C2055B" w:rsidRDefault="00C2055B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0C7B53">
    <w:pPr>
      <w:pStyle w:val="a5"/>
    </w:pPr>
    <w:r>
      <w:t xml:space="preserve"> </w:t>
    </w:r>
    <w:r w:rsidR="002606CF">
      <w:t xml:space="preserve"> </w:t>
    </w:r>
    <w:r w:rsidR="005946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71F4"/>
    <w:rsid w:val="002C55B9"/>
    <w:rsid w:val="002E23C4"/>
    <w:rsid w:val="002E4F64"/>
    <w:rsid w:val="003109EC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5DFC"/>
    <w:rsid w:val="007C763B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D4F99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16</cp:revision>
  <cp:lastPrinted>2019-05-20T06:50:00Z</cp:lastPrinted>
  <dcterms:created xsi:type="dcterms:W3CDTF">2018-05-04T05:19:00Z</dcterms:created>
  <dcterms:modified xsi:type="dcterms:W3CDTF">2020-05-18T07:11:00Z</dcterms:modified>
</cp:coreProperties>
</file>